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D2" w:rsidRPr="00ED38D2" w:rsidRDefault="00ED38D2" w:rsidP="00ED38D2">
      <w:pPr>
        <w:widowControl/>
        <w:shd w:val="clear" w:color="auto" w:fill="FFFFFF"/>
        <w:spacing w:after="450"/>
        <w:jc w:val="left"/>
        <w:outlineLvl w:val="0"/>
        <w:rPr>
          <w:rFonts w:ascii="Arial" w:eastAsia="宋体" w:hAnsi="Arial" w:cs="Arial"/>
          <w:caps/>
          <w:color w:val="333333"/>
          <w:kern w:val="36"/>
          <w:sz w:val="48"/>
          <w:szCs w:val="48"/>
        </w:rPr>
      </w:pPr>
      <w:r w:rsidRPr="00ED38D2">
        <w:rPr>
          <w:rFonts w:ascii="Arial" w:eastAsia="宋体" w:hAnsi="Arial" w:cs="Arial"/>
          <w:caps/>
          <w:color w:val="333333"/>
          <w:kern w:val="36"/>
          <w:sz w:val="48"/>
          <w:szCs w:val="48"/>
        </w:rPr>
        <w:t>GDMFX NO DEPOSIT PROMOTION</w:t>
      </w:r>
    </w:p>
    <w:p w:rsidR="00ED38D2" w:rsidRPr="00ED38D2" w:rsidRDefault="00ED38D2" w:rsidP="00ED38D2">
      <w:pPr>
        <w:widowControl/>
        <w:shd w:val="clear" w:color="auto" w:fill="FFFFFF"/>
        <w:spacing w:before="675" w:after="450"/>
        <w:jc w:val="left"/>
        <w:outlineLvl w:val="1"/>
        <w:rPr>
          <w:rFonts w:ascii="inherit" w:eastAsia="宋体" w:hAnsi="inherit" w:cs="Arial"/>
          <w:color w:val="333333"/>
          <w:kern w:val="0"/>
          <w:sz w:val="45"/>
          <w:szCs w:val="45"/>
        </w:rPr>
      </w:pPr>
      <w:r w:rsidRPr="00ED38D2">
        <w:rPr>
          <w:rFonts w:ascii="inherit" w:eastAsia="宋体" w:hAnsi="inherit" w:cs="Arial"/>
          <w:color w:val="333333"/>
          <w:kern w:val="0"/>
          <w:sz w:val="45"/>
          <w:szCs w:val="45"/>
        </w:rPr>
        <w:t>General Characteristics</w:t>
      </w:r>
    </w:p>
    <w:p w:rsidR="00ED38D2" w:rsidRPr="00ED38D2" w:rsidRDefault="00ED38D2" w:rsidP="00ED38D2">
      <w:pPr>
        <w:widowControl/>
        <w:numPr>
          <w:ilvl w:val="0"/>
          <w:numId w:val="1"/>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Available for new clients who register their account with GDM</w:t>
      </w:r>
      <w:r w:rsidRPr="00ED38D2">
        <w:rPr>
          <w:rFonts w:ascii="Arial" w:eastAsia="宋体" w:hAnsi="Arial" w:cs="Arial"/>
          <w:color w:val="25292B"/>
          <w:kern w:val="0"/>
          <w:sz w:val="18"/>
          <w:szCs w:val="18"/>
          <w:vertAlign w:val="superscript"/>
        </w:rPr>
        <w:t>FX</w:t>
      </w:r>
      <w:r w:rsidRPr="00ED38D2">
        <w:rPr>
          <w:rFonts w:ascii="Arial" w:eastAsia="宋体" w:hAnsi="Arial" w:cs="Arial"/>
          <w:color w:val="25292B"/>
          <w:kern w:val="0"/>
          <w:sz w:val="24"/>
          <w:szCs w:val="24"/>
        </w:rPr>
        <w:t> after the 12th of December 2016.</w:t>
      </w:r>
    </w:p>
    <w:p w:rsidR="00ED38D2" w:rsidRPr="00ED38D2" w:rsidRDefault="00ED38D2" w:rsidP="00ED38D2">
      <w:pPr>
        <w:widowControl/>
        <w:numPr>
          <w:ilvl w:val="0"/>
          <w:numId w:val="1"/>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Get a 50 USD credit deposit into your first trading account.</w:t>
      </w:r>
    </w:p>
    <w:p w:rsidR="00ED38D2" w:rsidRPr="00ED38D2" w:rsidRDefault="00ED38D2" w:rsidP="00ED38D2">
      <w:pPr>
        <w:widowControl/>
        <w:numPr>
          <w:ilvl w:val="0"/>
          <w:numId w:val="1"/>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Trade Forex with risk-free funds on the most famous trading platform with an award winning order execution and have access to our superb 24/5 customer support.</w:t>
      </w:r>
    </w:p>
    <w:p w:rsidR="00ED38D2" w:rsidRPr="00ED38D2" w:rsidRDefault="00ED38D2" w:rsidP="00ED38D2">
      <w:pPr>
        <w:widowControl/>
        <w:shd w:val="clear" w:color="auto" w:fill="FFFFFF"/>
        <w:spacing w:before="675" w:after="450"/>
        <w:jc w:val="left"/>
        <w:outlineLvl w:val="1"/>
        <w:rPr>
          <w:rFonts w:ascii="inherit" w:eastAsia="宋体" w:hAnsi="inherit" w:cs="Arial"/>
          <w:color w:val="333333"/>
          <w:kern w:val="0"/>
          <w:sz w:val="45"/>
          <w:szCs w:val="45"/>
        </w:rPr>
      </w:pPr>
      <w:r w:rsidRPr="00ED38D2">
        <w:rPr>
          <w:rFonts w:ascii="inherit" w:eastAsia="宋体" w:hAnsi="inherit" w:cs="Arial"/>
          <w:color w:val="333333"/>
          <w:kern w:val="0"/>
          <w:sz w:val="45"/>
          <w:szCs w:val="45"/>
        </w:rPr>
        <w:t>Steps to claim the Bonus</w:t>
      </w:r>
    </w:p>
    <w:p w:rsidR="00ED38D2" w:rsidRPr="00ED38D2" w:rsidRDefault="00ED38D2" w:rsidP="00ED38D2">
      <w:pPr>
        <w:widowControl/>
        <w:numPr>
          <w:ilvl w:val="0"/>
          <w:numId w:val="2"/>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Register your first GDM</w:t>
      </w:r>
      <w:r w:rsidRPr="00ED38D2">
        <w:rPr>
          <w:rFonts w:ascii="Arial" w:eastAsia="宋体" w:hAnsi="Arial" w:cs="Arial"/>
          <w:color w:val="25292B"/>
          <w:kern w:val="0"/>
          <w:sz w:val="18"/>
          <w:szCs w:val="18"/>
          <w:vertAlign w:val="superscript"/>
        </w:rPr>
        <w:t>FX</w:t>
      </w:r>
      <w:r w:rsidRPr="00ED38D2">
        <w:rPr>
          <w:rFonts w:ascii="Arial" w:eastAsia="宋体" w:hAnsi="Arial" w:cs="Arial"/>
          <w:color w:val="25292B"/>
          <w:kern w:val="0"/>
          <w:sz w:val="24"/>
          <w:szCs w:val="24"/>
        </w:rPr>
        <w:t> live account</w:t>
      </w:r>
    </w:p>
    <w:p w:rsidR="00ED38D2" w:rsidRPr="00ED38D2" w:rsidRDefault="00ED38D2" w:rsidP="00ED38D2">
      <w:pPr>
        <w:widowControl/>
        <w:numPr>
          <w:ilvl w:val="0"/>
          <w:numId w:val="2"/>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Claim the bonus from </w:t>
      </w:r>
      <w:hyperlink r:id="rId7" w:history="1">
        <w:r w:rsidRPr="00ED38D2">
          <w:rPr>
            <w:rFonts w:ascii="Arial" w:eastAsia="宋体" w:hAnsi="Arial" w:cs="Arial"/>
            <w:color w:val="BE2025"/>
            <w:kern w:val="0"/>
            <w:sz w:val="24"/>
            <w:szCs w:val="24"/>
            <w:u w:val="single"/>
          </w:rPr>
          <w:t>CustomerSupport@gdmfx.com</w:t>
        </w:r>
      </w:hyperlink>
      <w:r w:rsidRPr="00ED38D2">
        <w:rPr>
          <w:rFonts w:ascii="Arial" w:eastAsia="宋体" w:hAnsi="Arial" w:cs="Arial"/>
          <w:color w:val="25292B"/>
          <w:kern w:val="0"/>
          <w:sz w:val="24"/>
          <w:szCs w:val="24"/>
        </w:rPr>
        <w:t> within 48 hours of your registration</w:t>
      </w:r>
    </w:p>
    <w:p w:rsidR="00ED38D2" w:rsidRPr="00ED38D2" w:rsidRDefault="00ED38D2" w:rsidP="00ED38D2">
      <w:pPr>
        <w:widowControl/>
        <w:shd w:val="clear" w:color="auto" w:fill="FFFFFF"/>
        <w:spacing w:before="675" w:after="450"/>
        <w:jc w:val="left"/>
        <w:outlineLvl w:val="1"/>
        <w:rPr>
          <w:rFonts w:ascii="inherit" w:eastAsia="宋体" w:hAnsi="inherit" w:cs="Arial"/>
          <w:color w:val="333333"/>
          <w:kern w:val="0"/>
          <w:sz w:val="45"/>
          <w:szCs w:val="45"/>
        </w:rPr>
      </w:pPr>
      <w:r w:rsidRPr="00ED38D2">
        <w:rPr>
          <w:rFonts w:ascii="inherit" w:eastAsia="宋体" w:hAnsi="inherit" w:cs="Arial"/>
          <w:color w:val="333333"/>
          <w:kern w:val="0"/>
          <w:sz w:val="45"/>
          <w:szCs w:val="45"/>
        </w:rPr>
        <w:t>Terms and Conditions</w:t>
      </w:r>
    </w:p>
    <w:p w:rsidR="00ED38D2" w:rsidRPr="00ED38D2" w:rsidRDefault="00ED38D2" w:rsidP="00ED38D2">
      <w:pPr>
        <w:widowControl/>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The no-deposit bonus is available for clients who open their first registration with GDM</w:t>
      </w:r>
      <w:r w:rsidRPr="00ED38D2">
        <w:rPr>
          <w:rFonts w:ascii="Arial" w:eastAsia="宋体" w:hAnsi="Arial" w:cs="Arial"/>
          <w:color w:val="25292B"/>
          <w:kern w:val="0"/>
          <w:sz w:val="18"/>
          <w:szCs w:val="18"/>
          <w:vertAlign w:val="superscript"/>
        </w:rPr>
        <w:t>FX</w:t>
      </w:r>
      <w:r w:rsidRPr="00ED38D2">
        <w:rPr>
          <w:rFonts w:ascii="Arial" w:eastAsia="宋体" w:hAnsi="Arial" w:cs="Arial"/>
          <w:color w:val="25292B"/>
          <w:kern w:val="0"/>
          <w:sz w:val="24"/>
          <w:szCs w:val="24"/>
        </w:rPr>
        <w:t> in accordance with the Company's Legal Documents.</w:t>
      </w:r>
    </w:p>
    <w:p w:rsidR="00ED38D2" w:rsidRPr="00ED38D2" w:rsidRDefault="00ED38D2" w:rsidP="00ED38D2">
      <w:pPr>
        <w:widowControl/>
        <w:shd w:val="clear" w:color="auto" w:fill="FFFFFF"/>
        <w:spacing w:before="450" w:after="330"/>
        <w:jc w:val="left"/>
        <w:outlineLvl w:val="2"/>
        <w:rPr>
          <w:rFonts w:ascii="inherit" w:eastAsia="宋体" w:hAnsi="inherit" w:cs="Arial"/>
          <w:b/>
          <w:bCs/>
          <w:color w:val="333333"/>
          <w:kern w:val="0"/>
          <w:sz w:val="27"/>
          <w:szCs w:val="27"/>
        </w:rPr>
      </w:pPr>
      <w:r w:rsidRPr="00ED38D2">
        <w:rPr>
          <w:rFonts w:ascii="inherit" w:eastAsia="宋体" w:hAnsi="inherit" w:cs="Arial"/>
          <w:b/>
          <w:bCs/>
          <w:color w:val="333333"/>
          <w:kern w:val="0"/>
          <w:sz w:val="27"/>
          <w:szCs w:val="27"/>
        </w:rPr>
        <w:t>Bonus Specifications</w:t>
      </w:r>
    </w:p>
    <w:p w:rsidR="00ED38D2" w:rsidRPr="00ED38D2" w:rsidRDefault="00ED38D2" w:rsidP="00ED38D2">
      <w:pPr>
        <w:widowControl/>
        <w:numPr>
          <w:ilvl w:val="0"/>
          <w:numId w:val="3"/>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The no-deposit promotion can be granted only once per client.</w:t>
      </w:r>
    </w:p>
    <w:p w:rsidR="00ED38D2" w:rsidRPr="00ED38D2" w:rsidRDefault="00ED38D2" w:rsidP="00ED38D2">
      <w:pPr>
        <w:widowControl/>
        <w:numPr>
          <w:ilvl w:val="0"/>
          <w:numId w:val="3"/>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The no-deposit bonus is added as credit of 50 USD into a trading account herein referred to as “bonus account”.</w:t>
      </w:r>
    </w:p>
    <w:p w:rsidR="00ED38D2" w:rsidRPr="00ED38D2" w:rsidRDefault="00ED38D2" w:rsidP="00ED38D2">
      <w:pPr>
        <w:widowControl/>
        <w:numPr>
          <w:ilvl w:val="0"/>
          <w:numId w:val="3"/>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All eligible clients are permitted to hold only one no-deposit promotion account per one unique IP address. Multiple registrations from the same IP are not permitted, nor are multiple no-deposit accounts to be registered with the same client details.</w:t>
      </w:r>
    </w:p>
    <w:p w:rsidR="00ED38D2" w:rsidRPr="00ED38D2" w:rsidRDefault="00ED38D2" w:rsidP="00ED38D2">
      <w:pPr>
        <w:widowControl/>
        <w:numPr>
          <w:ilvl w:val="0"/>
          <w:numId w:val="3"/>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lastRenderedPageBreak/>
        <w:t>Profits from the bonus account can be withdrawn any time only after at least 7 round-turn trades have been completed and at least 1 standard lot have been traded. The number of completed trades and their volume can be verified in the Account History tab of the MetaTrader4 platform, or inside the Member's Area under the Positions section.</w:t>
      </w:r>
    </w:p>
    <w:p w:rsidR="00ED38D2" w:rsidRPr="00ED38D2" w:rsidRDefault="00ED38D2" w:rsidP="00ED38D2">
      <w:pPr>
        <w:widowControl/>
        <w:numPr>
          <w:ilvl w:val="0"/>
          <w:numId w:val="3"/>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The volume and total number of opposite positions opened on the same instrument at the same or nearly the same time, shall not be counted towards the trading requirement of the bonus schemes.</w:t>
      </w:r>
    </w:p>
    <w:p w:rsidR="00ED38D2" w:rsidRPr="00ED38D2" w:rsidRDefault="00ED38D2" w:rsidP="00ED38D2">
      <w:pPr>
        <w:widowControl/>
        <w:numPr>
          <w:ilvl w:val="0"/>
          <w:numId w:val="3"/>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Subject to the provisions set forth above, the minimum amount that can be withdrawn from a bonus account is 50 USD.</w:t>
      </w:r>
    </w:p>
    <w:p w:rsidR="00ED38D2" w:rsidRPr="00ED38D2" w:rsidRDefault="00ED38D2" w:rsidP="00ED38D2">
      <w:pPr>
        <w:widowControl/>
        <w:numPr>
          <w:ilvl w:val="0"/>
          <w:numId w:val="3"/>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The first approved withdrawal from the bonus account shall be exempt from the standard withdrawal fees charged by GDM</w:t>
      </w:r>
      <w:r w:rsidRPr="00ED38D2">
        <w:rPr>
          <w:rFonts w:ascii="Arial" w:eastAsia="宋体" w:hAnsi="Arial" w:cs="Arial"/>
          <w:color w:val="25292B"/>
          <w:kern w:val="0"/>
          <w:sz w:val="18"/>
          <w:szCs w:val="18"/>
          <w:vertAlign w:val="superscript"/>
        </w:rPr>
        <w:t>FX</w:t>
      </w:r>
      <w:r w:rsidRPr="00ED38D2">
        <w:rPr>
          <w:rFonts w:ascii="Arial" w:eastAsia="宋体" w:hAnsi="Arial" w:cs="Arial"/>
          <w:color w:val="25292B"/>
          <w:kern w:val="0"/>
          <w:sz w:val="24"/>
          <w:szCs w:val="24"/>
        </w:rPr>
        <w:t>.</w:t>
      </w:r>
    </w:p>
    <w:p w:rsidR="00ED38D2" w:rsidRPr="00ED38D2" w:rsidRDefault="00ED38D2" w:rsidP="00ED38D2">
      <w:pPr>
        <w:widowControl/>
        <w:numPr>
          <w:ilvl w:val="0"/>
          <w:numId w:val="3"/>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The Bonus shall be revoked upon the first eligible withdrawal request </w:t>
      </w:r>
    </w:p>
    <w:p w:rsidR="00ED38D2" w:rsidRPr="00ED38D2" w:rsidRDefault="00ED38D2" w:rsidP="00ED38D2">
      <w:pPr>
        <w:widowControl/>
        <w:numPr>
          <w:ilvl w:val="0"/>
          <w:numId w:val="3"/>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Internal transfers out of the bonus account shall be prohibited.</w:t>
      </w:r>
    </w:p>
    <w:p w:rsidR="00ED38D2" w:rsidRPr="00ED38D2" w:rsidRDefault="00ED38D2" w:rsidP="00ED38D2">
      <w:pPr>
        <w:widowControl/>
        <w:numPr>
          <w:ilvl w:val="0"/>
          <w:numId w:val="3"/>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The bonus account shall be based on the “Blade” Account Type offered by GDM</w:t>
      </w:r>
      <w:r w:rsidRPr="00ED38D2">
        <w:rPr>
          <w:rFonts w:ascii="Arial" w:eastAsia="宋体" w:hAnsi="Arial" w:cs="Arial"/>
          <w:color w:val="25292B"/>
          <w:kern w:val="0"/>
          <w:sz w:val="18"/>
          <w:szCs w:val="18"/>
          <w:vertAlign w:val="superscript"/>
        </w:rPr>
        <w:t>FX</w:t>
      </w:r>
      <w:r w:rsidRPr="00ED38D2">
        <w:rPr>
          <w:rFonts w:ascii="Arial" w:eastAsia="宋体" w:hAnsi="Arial" w:cs="Arial"/>
          <w:color w:val="25292B"/>
          <w:kern w:val="0"/>
          <w:sz w:val="24"/>
          <w:szCs w:val="24"/>
        </w:rPr>
        <w:t> and described on the Company’s website. All properties of the bonus account shall be the same as those of the said Account Type with the exception of the properties described herein</w:t>
      </w:r>
    </w:p>
    <w:p w:rsidR="00ED38D2" w:rsidRPr="00ED38D2" w:rsidRDefault="00ED38D2" w:rsidP="00ED38D2">
      <w:pPr>
        <w:widowControl/>
        <w:numPr>
          <w:ilvl w:val="0"/>
          <w:numId w:val="3"/>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The use of Expert Advisers and any other form of automated trading including but not limited to any trading signals, arbitrage, auto-clicking scripts, is prohibited.</w:t>
      </w:r>
    </w:p>
    <w:p w:rsidR="00ED38D2" w:rsidRPr="00ED38D2" w:rsidRDefault="00ED38D2" w:rsidP="00ED38D2">
      <w:pPr>
        <w:widowControl/>
        <w:numPr>
          <w:ilvl w:val="0"/>
          <w:numId w:val="3"/>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Leverage of the bonus account shall be set to 1:100.</w:t>
      </w:r>
    </w:p>
    <w:p w:rsidR="00ED38D2" w:rsidRPr="00ED38D2" w:rsidRDefault="00ED38D2" w:rsidP="00ED38D2">
      <w:pPr>
        <w:widowControl/>
        <w:numPr>
          <w:ilvl w:val="0"/>
          <w:numId w:val="3"/>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The credit amount of the no-deposit bonus shall be revoked after one month.</w:t>
      </w:r>
    </w:p>
    <w:p w:rsidR="00ED38D2" w:rsidRPr="00ED38D2" w:rsidRDefault="00ED38D2" w:rsidP="00ED38D2">
      <w:pPr>
        <w:widowControl/>
        <w:numPr>
          <w:ilvl w:val="0"/>
          <w:numId w:val="3"/>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GDM</w:t>
      </w:r>
      <w:r w:rsidRPr="00ED38D2">
        <w:rPr>
          <w:rFonts w:ascii="Arial" w:eastAsia="宋体" w:hAnsi="Arial" w:cs="Arial"/>
          <w:color w:val="25292B"/>
          <w:kern w:val="0"/>
          <w:sz w:val="18"/>
          <w:szCs w:val="18"/>
          <w:vertAlign w:val="superscript"/>
        </w:rPr>
        <w:t>FX</w:t>
      </w:r>
      <w:r w:rsidRPr="00ED38D2">
        <w:rPr>
          <w:rFonts w:ascii="Arial" w:eastAsia="宋体" w:hAnsi="Arial" w:cs="Arial"/>
          <w:color w:val="25292B"/>
          <w:kern w:val="0"/>
          <w:sz w:val="24"/>
          <w:szCs w:val="24"/>
        </w:rPr>
        <w:t> reserves the right to alter, amend or terminate its no-deposit promotion or any aspect of it at any time. Such changes shall be announced on the company's website. It is therefore recommended that participants in the bonus scheme consult its Terms and Conditions on the company's website regularly. Taking part in the bonus scheme constitutes acceptance and agreement to abide by such alterations, amendments and/or changes.</w:t>
      </w:r>
      <w:r w:rsidRPr="00ED38D2">
        <w:rPr>
          <w:rFonts w:ascii="Arial" w:eastAsia="宋体" w:hAnsi="Arial" w:cs="Arial"/>
          <w:color w:val="25292B"/>
          <w:kern w:val="0"/>
          <w:sz w:val="24"/>
          <w:szCs w:val="24"/>
        </w:rPr>
        <w:br/>
        <w:t> </w:t>
      </w:r>
    </w:p>
    <w:p w:rsidR="00ED38D2" w:rsidRPr="00ED38D2" w:rsidRDefault="00ED38D2" w:rsidP="00ED38D2">
      <w:pPr>
        <w:widowControl/>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br/>
        <w:t>GDM</w:t>
      </w:r>
      <w:r w:rsidRPr="00ED38D2">
        <w:rPr>
          <w:rFonts w:ascii="Arial" w:eastAsia="宋体" w:hAnsi="Arial" w:cs="Arial"/>
          <w:color w:val="25292B"/>
          <w:kern w:val="0"/>
          <w:sz w:val="18"/>
          <w:szCs w:val="18"/>
          <w:vertAlign w:val="superscript"/>
        </w:rPr>
        <w:t>FX</w:t>
      </w:r>
      <w:r w:rsidRPr="00ED38D2">
        <w:rPr>
          <w:rFonts w:ascii="Arial" w:eastAsia="宋体" w:hAnsi="Arial" w:cs="Arial"/>
          <w:color w:val="25292B"/>
          <w:kern w:val="0"/>
          <w:sz w:val="24"/>
          <w:szCs w:val="24"/>
        </w:rPr>
        <w:t> reserves the right to deny a bonus request at its sole discretion, and to revoke an already granted “no deposit” bonus and profits generated by its use, in the event of:</w:t>
      </w:r>
      <w:r w:rsidRPr="00ED38D2">
        <w:rPr>
          <w:rFonts w:ascii="Arial" w:eastAsia="宋体" w:hAnsi="Arial" w:cs="Arial"/>
          <w:color w:val="25292B"/>
          <w:kern w:val="0"/>
          <w:sz w:val="24"/>
          <w:szCs w:val="24"/>
        </w:rPr>
        <w:br/>
        <w:t> </w:t>
      </w:r>
    </w:p>
    <w:p w:rsidR="00ED38D2" w:rsidRPr="00ED38D2" w:rsidRDefault="00ED38D2" w:rsidP="00ED38D2">
      <w:pPr>
        <w:widowControl/>
        <w:numPr>
          <w:ilvl w:val="0"/>
          <w:numId w:val="4"/>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In all cases when the Customer is in breach of any of the Terms and Conditions of GDM</w:t>
      </w:r>
      <w:r w:rsidRPr="00ED38D2">
        <w:rPr>
          <w:rFonts w:ascii="Arial" w:eastAsia="宋体" w:hAnsi="Arial" w:cs="Arial"/>
          <w:color w:val="25292B"/>
          <w:kern w:val="0"/>
          <w:sz w:val="18"/>
          <w:szCs w:val="18"/>
          <w:vertAlign w:val="superscript"/>
        </w:rPr>
        <w:t>FX</w:t>
      </w:r>
      <w:r w:rsidRPr="00ED38D2">
        <w:rPr>
          <w:rFonts w:ascii="Arial" w:eastAsia="宋体" w:hAnsi="Arial" w:cs="Arial"/>
          <w:color w:val="25292B"/>
          <w:kern w:val="0"/>
          <w:sz w:val="24"/>
          <w:szCs w:val="24"/>
        </w:rPr>
        <w:t>.</w:t>
      </w:r>
    </w:p>
    <w:p w:rsidR="00ED38D2" w:rsidRPr="00ED38D2" w:rsidRDefault="00ED38D2" w:rsidP="00ED38D2">
      <w:pPr>
        <w:widowControl/>
        <w:numPr>
          <w:ilvl w:val="0"/>
          <w:numId w:val="4"/>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lastRenderedPageBreak/>
        <w:t>In case of Account Termination as specified in the GDM</w:t>
      </w:r>
      <w:r w:rsidRPr="00ED38D2">
        <w:rPr>
          <w:rFonts w:ascii="Arial" w:eastAsia="宋体" w:hAnsi="Arial" w:cs="Arial"/>
          <w:color w:val="25292B"/>
          <w:kern w:val="0"/>
          <w:sz w:val="18"/>
          <w:szCs w:val="18"/>
          <w:vertAlign w:val="superscript"/>
        </w:rPr>
        <w:t>FX</w:t>
      </w:r>
      <w:r w:rsidRPr="00ED38D2">
        <w:rPr>
          <w:rFonts w:ascii="Arial" w:eastAsia="宋体" w:hAnsi="Arial" w:cs="Arial"/>
          <w:color w:val="25292B"/>
          <w:kern w:val="0"/>
          <w:sz w:val="24"/>
          <w:szCs w:val="24"/>
        </w:rPr>
        <w:t> Client Verification and Administration Policy.</w:t>
      </w:r>
    </w:p>
    <w:p w:rsidR="00ED38D2" w:rsidRPr="00ED38D2" w:rsidRDefault="00ED38D2" w:rsidP="00ED38D2">
      <w:pPr>
        <w:widowControl/>
        <w:numPr>
          <w:ilvl w:val="0"/>
          <w:numId w:val="4"/>
        </w:numPr>
        <w:shd w:val="clear" w:color="auto" w:fill="FFFFFF"/>
        <w:spacing w:after="150" w:line="300" w:lineRule="atLeast"/>
        <w:jc w:val="left"/>
        <w:rPr>
          <w:rFonts w:ascii="Arial" w:eastAsia="宋体" w:hAnsi="Arial" w:cs="Arial"/>
          <w:color w:val="25292B"/>
          <w:kern w:val="0"/>
          <w:sz w:val="24"/>
          <w:szCs w:val="24"/>
        </w:rPr>
      </w:pPr>
      <w:r w:rsidRPr="00ED38D2">
        <w:rPr>
          <w:rFonts w:ascii="Arial" w:eastAsia="宋体" w:hAnsi="Arial" w:cs="Arial"/>
          <w:color w:val="25292B"/>
          <w:kern w:val="0"/>
          <w:sz w:val="24"/>
          <w:szCs w:val="24"/>
        </w:rPr>
        <w:t>In case the bonus account becomes dormant.</w:t>
      </w:r>
    </w:p>
    <w:p w:rsidR="00656586" w:rsidRDefault="00656586"/>
    <w:sectPr w:rsidR="00656586" w:rsidSect="006565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257" w:rsidRDefault="009F1257" w:rsidP="00ED38D2">
      <w:r>
        <w:separator/>
      </w:r>
    </w:p>
  </w:endnote>
  <w:endnote w:type="continuationSeparator" w:id="0">
    <w:p w:rsidR="009F1257" w:rsidRDefault="009F1257" w:rsidP="00ED38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257" w:rsidRDefault="009F1257" w:rsidP="00ED38D2">
      <w:r>
        <w:separator/>
      </w:r>
    </w:p>
  </w:footnote>
  <w:footnote w:type="continuationSeparator" w:id="0">
    <w:p w:rsidR="009F1257" w:rsidRDefault="009F1257" w:rsidP="00ED3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6361"/>
    <w:multiLevelType w:val="multilevel"/>
    <w:tmpl w:val="947A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27521"/>
    <w:multiLevelType w:val="multilevel"/>
    <w:tmpl w:val="A5BCB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D0173A"/>
    <w:multiLevelType w:val="multilevel"/>
    <w:tmpl w:val="6CF8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078E8"/>
    <w:multiLevelType w:val="multilevel"/>
    <w:tmpl w:val="5C38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38D2"/>
    <w:rsid w:val="00656586"/>
    <w:rsid w:val="009F1257"/>
    <w:rsid w:val="00ED38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86"/>
    <w:pPr>
      <w:widowControl w:val="0"/>
      <w:jc w:val="both"/>
    </w:pPr>
  </w:style>
  <w:style w:type="paragraph" w:styleId="1">
    <w:name w:val="heading 1"/>
    <w:basedOn w:val="a"/>
    <w:link w:val="1Char"/>
    <w:uiPriority w:val="9"/>
    <w:qFormat/>
    <w:rsid w:val="00ED38D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D38D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ED38D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38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38D2"/>
    <w:rPr>
      <w:sz w:val="18"/>
      <w:szCs w:val="18"/>
    </w:rPr>
  </w:style>
  <w:style w:type="paragraph" w:styleId="a4">
    <w:name w:val="footer"/>
    <w:basedOn w:val="a"/>
    <w:link w:val="Char0"/>
    <w:uiPriority w:val="99"/>
    <w:semiHidden/>
    <w:unhideWhenUsed/>
    <w:rsid w:val="00ED38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38D2"/>
    <w:rPr>
      <w:sz w:val="18"/>
      <w:szCs w:val="18"/>
    </w:rPr>
  </w:style>
  <w:style w:type="character" w:customStyle="1" w:styleId="1Char">
    <w:name w:val="标题 1 Char"/>
    <w:basedOn w:val="a0"/>
    <w:link w:val="1"/>
    <w:uiPriority w:val="9"/>
    <w:rsid w:val="00ED38D2"/>
    <w:rPr>
      <w:rFonts w:ascii="宋体" w:eastAsia="宋体" w:hAnsi="宋体" w:cs="宋体"/>
      <w:b/>
      <w:bCs/>
      <w:kern w:val="36"/>
      <w:sz w:val="48"/>
      <w:szCs w:val="48"/>
    </w:rPr>
  </w:style>
  <w:style w:type="character" w:customStyle="1" w:styleId="2Char">
    <w:name w:val="标题 2 Char"/>
    <w:basedOn w:val="a0"/>
    <w:link w:val="2"/>
    <w:uiPriority w:val="9"/>
    <w:rsid w:val="00ED38D2"/>
    <w:rPr>
      <w:rFonts w:ascii="宋体" w:eastAsia="宋体" w:hAnsi="宋体" w:cs="宋体"/>
      <w:b/>
      <w:bCs/>
      <w:kern w:val="0"/>
      <w:sz w:val="36"/>
      <w:szCs w:val="36"/>
    </w:rPr>
  </w:style>
  <w:style w:type="character" w:customStyle="1" w:styleId="3Char">
    <w:name w:val="标题 3 Char"/>
    <w:basedOn w:val="a0"/>
    <w:link w:val="3"/>
    <w:uiPriority w:val="9"/>
    <w:rsid w:val="00ED38D2"/>
    <w:rPr>
      <w:rFonts w:ascii="宋体" w:eastAsia="宋体" w:hAnsi="宋体" w:cs="宋体"/>
      <w:b/>
      <w:bCs/>
      <w:kern w:val="0"/>
      <w:sz w:val="27"/>
      <w:szCs w:val="27"/>
    </w:rPr>
  </w:style>
  <w:style w:type="paragraph" w:styleId="a5">
    <w:name w:val="Normal (Web)"/>
    <w:basedOn w:val="a"/>
    <w:uiPriority w:val="99"/>
    <w:semiHidden/>
    <w:unhideWhenUsed/>
    <w:rsid w:val="00ED38D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D38D2"/>
  </w:style>
  <w:style w:type="character" w:styleId="a6">
    <w:name w:val="Hyperlink"/>
    <w:basedOn w:val="a0"/>
    <w:uiPriority w:val="99"/>
    <w:semiHidden/>
    <w:unhideWhenUsed/>
    <w:rsid w:val="00ED38D2"/>
    <w:rPr>
      <w:color w:val="0000FF"/>
      <w:u w:val="single"/>
    </w:rPr>
  </w:style>
</w:styles>
</file>

<file path=word/webSettings.xml><?xml version="1.0" encoding="utf-8"?>
<w:webSettings xmlns:r="http://schemas.openxmlformats.org/officeDocument/2006/relationships" xmlns:w="http://schemas.openxmlformats.org/wordprocessingml/2006/main">
  <w:divs>
    <w:div w:id="1395540302">
      <w:bodyDiv w:val="1"/>
      <w:marLeft w:val="0"/>
      <w:marRight w:val="0"/>
      <w:marTop w:val="0"/>
      <w:marBottom w:val="0"/>
      <w:divBdr>
        <w:top w:val="none" w:sz="0" w:space="0" w:color="auto"/>
        <w:left w:val="none" w:sz="0" w:space="0" w:color="auto"/>
        <w:bottom w:val="none" w:sz="0" w:space="0" w:color="auto"/>
        <w:right w:val="none" w:sz="0" w:space="0" w:color="auto"/>
      </w:divBdr>
      <w:divsChild>
        <w:div w:id="1066564739">
          <w:marLeft w:val="0"/>
          <w:marRight w:val="0"/>
          <w:marTop w:val="0"/>
          <w:marBottom w:val="0"/>
          <w:divBdr>
            <w:top w:val="none" w:sz="0" w:space="0" w:color="auto"/>
            <w:left w:val="none" w:sz="0" w:space="0" w:color="auto"/>
            <w:bottom w:val="none" w:sz="0" w:space="0" w:color="auto"/>
            <w:right w:val="none" w:sz="0" w:space="0" w:color="auto"/>
          </w:divBdr>
          <w:divsChild>
            <w:div w:id="1624579973">
              <w:marLeft w:val="0"/>
              <w:marRight w:val="0"/>
              <w:marTop w:val="0"/>
              <w:marBottom w:val="0"/>
              <w:divBdr>
                <w:top w:val="none" w:sz="0" w:space="0" w:color="auto"/>
                <w:left w:val="none" w:sz="0" w:space="0" w:color="auto"/>
                <w:bottom w:val="none" w:sz="0" w:space="0" w:color="auto"/>
                <w:right w:val="none" w:sz="0" w:space="0" w:color="auto"/>
              </w:divBdr>
              <w:divsChild>
                <w:div w:id="1298951125">
                  <w:marLeft w:val="0"/>
                  <w:marRight w:val="0"/>
                  <w:marTop w:val="0"/>
                  <w:marBottom w:val="0"/>
                  <w:divBdr>
                    <w:top w:val="none" w:sz="0" w:space="0" w:color="auto"/>
                    <w:left w:val="none" w:sz="0" w:space="0" w:color="auto"/>
                    <w:bottom w:val="none" w:sz="0" w:space="0" w:color="auto"/>
                    <w:right w:val="none" w:sz="0" w:space="0" w:color="auto"/>
                  </w:divBdr>
                  <w:divsChild>
                    <w:div w:id="1653370329">
                      <w:marLeft w:val="0"/>
                      <w:marRight w:val="0"/>
                      <w:marTop w:val="0"/>
                      <w:marBottom w:val="0"/>
                      <w:divBdr>
                        <w:top w:val="none" w:sz="0" w:space="0" w:color="auto"/>
                        <w:left w:val="none" w:sz="0" w:space="0" w:color="auto"/>
                        <w:bottom w:val="none" w:sz="0" w:space="0" w:color="auto"/>
                        <w:right w:val="none" w:sz="0" w:space="0" w:color="auto"/>
                      </w:divBdr>
                      <w:divsChild>
                        <w:div w:id="1012613150">
                          <w:marLeft w:val="0"/>
                          <w:marRight w:val="0"/>
                          <w:marTop w:val="0"/>
                          <w:marBottom w:val="0"/>
                          <w:divBdr>
                            <w:top w:val="none" w:sz="0" w:space="0" w:color="auto"/>
                            <w:left w:val="none" w:sz="0" w:space="0" w:color="auto"/>
                            <w:bottom w:val="none" w:sz="0" w:space="0" w:color="auto"/>
                            <w:right w:val="none" w:sz="0" w:space="0" w:color="auto"/>
                          </w:divBdr>
                          <w:divsChild>
                            <w:div w:id="1174611058">
                              <w:marLeft w:val="0"/>
                              <w:marRight w:val="0"/>
                              <w:marTop w:val="0"/>
                              <w:marBottom w:val="0"/>
                              <w:divBdr>
                                <w:top w:val="none" w:sz="0" w:space="0" w:color="auto"/>
                                <w:left w:val="none" w:sz="0" w:space="0" w:color="auto"/>
                                <w:bottom w:val="none" w:sz="0" w:space="0" w:color="auto"/>
                                <w:right w:val="none" w:sz="0" w:space="0" w:color="auto"/>
                              </w:divBdr>
                              <w:divsChild>
                                <w:div w:id="79176598">
                                  <w:marLeft w:val="0"/>
                                  <w:marRight w:val="0"/>
                                  <w:marTop w:val="0"/>
                                  <w:marBottom w:val="0"/>
                                  <w:divBdr>
                                    <w:top w:val="none" w:sz="0" w:space="0" w:color="auto"/>
                                    <w:left w:val="none" w:sz="0" w:space="0" w:color="auto"/>
                                    <w:bottom w:val="none" w:sz="0" w:space="0" w:color="auto"/>
                                    <w:right w:val="none" w:sz="0" w:space="0" w:color="auto"/>
                                  </w:divBdr>
                                  <w:divsChild>
                                    <w:div w:id="20467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omerSupport@gdmf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2964</Characters>
  <Application>Microsoft Office Word</Application>
  <DocSecurity>0</DocSecurity>
  <Lines>24</Lines>
  <Paragraphs>6</Paragraphs>
  <ScaleCrop>false</ScaleCrop>
  <Company>Lenovo</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2017-01-12T04:32:00Z</dcterms:created>
  <dcterms:modified xsi:type="dcterms:W3CDTF">2017-01-12T04:32:00Z</dcterms:modified>
</cp:coreProperties>
</file>